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C16C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ТИТУЛЬНИЙ АРКУШ</w:t>
      </w:r>
    </w:p>
    <w:p w14:paraId="0492B6B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2C2AB934"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0B78964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31.07.2025</w:t>
            </w:r>
          </w:p>
        </w:tc>
      </w:tr>
      <w:tr w:rsidR="00000000" w14:paraId="3D523873"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7E0FC05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 реєстрації емітентом електронного документа)</w:t>
            </w:r>
          </w:p>
        </w:tc>
      </w:tr>
      <w:tr w:rsidR="00000000" w14:paraId="09AC3F64"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164C56D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31/07-1</w:t>
            </w:r>
          </w:p>
        </w:tc>
      </w:tr>
      <w:tr w:rsidR="00000000" w14:paraId="51E9920B" w14:textId="77777777">
        <w:tblPrEx>
          <w:tblCellMar>
            <w:top w:w="0" w:type="dxa"/>
            <w:bottom w:w="0" w:type="dxa"/>
          </w:tblCellMar>
        </w:tblPrEx>
        <w:trPr>
          <w:trHeight w:val="300"/>
        </w:trPr>
        <w:tc>
          <w:tcPr>
            <w:tcW w:w="5230" w:type="dxa"/>
            <w:tcBorders>
              <w:top w:val="nil"/>
              <w:left w:val="nil"/>
              <w:bottom w:val="nil"/>
              <w:right w:val="nil"/>
            </w:tcBorders>
            <w:vAlign w:val="bottom"/>
          </w:tcPr>
          <w:p w14:paraId="3008852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(вихідний реєстраційний номер електронного документа)</w:t>
            </w:r>
          </w:p>
        </w:tc>
      </w:tr>
    </w:tbl>
    <w:p w14:paraId="08949E85"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24CBEDB9" w14:textId="77777777">
        <w:tblPrEx>
          <w:tblCellMar>
            <w:top w:w="0" w:type="dxa"/>
            <w:bottom w:w="0" w:type="dxa"/>
          </w:tblCellMar>
        </w:tblPrEx>
        <w:trPr>
          <w:trHeight w:val="300"/>
        </w:trPr>
        <w:tc>
          <w:tcPr>
            <w:tcW w:w="10465" w:type="dxa"/>
            <w:tcBorders>
              <w:top w:val="nil"/>
              <w:left w:val="nil"/>
              <w:bottom w:val="nil"/>
              <w:right w:val="nil"/>
            </w:tcBorders>
            <w:vAlign w:val="bottom"/>
          </w:tcPr>
          <w:p w14:paraId="489204B8"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3E6B94BE"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1A6D8F47"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4036224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Генеральний директор</w:t>
            </w:r>
          </w:p>
        </w:tc>
        <w:tc>
          <w:tcPr>
            <w:tcW w:w="216" w:type="dxa"/>
            <w:tcBorders>
              <w:top w:val="nil"/>
              <w:left w:val="nil"/>
              <w:bottom w:val="nil"/>
              <w:right w:val="nil"/>
            </w:tcBorders>
          </w:tcPr>
          <w:p w14:paraId="77CCDA4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334" w:type="dxa"/>
            <w:tcBorders>
              <w:top w:val="nil"/>
              <w:left w:val="nil"/>
              <w:bottom w:val="single" w:sz="6" w:space="0" w:color="auto"/>
              <w:right w:val="nil"/>
            </w:tcBorders>
            <w:vAlign w:val="bottom"/>
          </w:tcPr>
          <w:p w14:paraId="08DF88C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216" w:type="dxa"/>
            <w:tcBorders>
              <w:top w:val="nil"/>
              <w:left w:val="nil"/>
              <w:bottom w:val="nil"/>
              <w:right w:val="nil"/>
            </w:tcBorders>
          </w:tcPr>
          <w:p w14:paraId="028EF4D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284" w:type="dxa"/>
            <w:tcBorders>
              <w:top w:val="nil"/>
              <w:left w:val="nil"/>
              <w:bottom w:val="single" w:sz="6" w:space="0" w:color="auto"/>
              <w:right w:val="nil"/>
            </w:tcBorders>
            <w:vAlign w:val="bottom"/>
          </w:tcPr>
          <w:p w14:paraId="4152A41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Боярин П.I.</w:t>
            </w:r>
          </w:p>
        </w:tc>
      </w:tr>
      <w:tr w:rsidR="00000000" w14:paraId="6BC82297" w14:textId="77777777">
        <w:tblPrEx>
          <w:tblCellMar>
            <w:top w:w="0" w:type="dxa"/>
            <w:bottom w:w="0" w:type="dxa"/>
          </w:tblCellMar>
        </w:tblPrEx>
        <w:trPr>
          <w:trHeight w:val="200"/>
        </w:trPr>
        <w:tc>
          <w:tcPr>
            <w:tcW w:w="3415" w:type="dxa"/>
            <w:tcBorders>
              <w:top w:val="nil"/>
              <w:left w:val="nil"/>
              <w:bottom w:val="nil"/>
              <w:right w:val="nil"/>
            </w:tcBorders>
          </w:tcPr>
          <w:p w14:paraId="781E528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(посада)</w:t>
            </w:r>
          </w:p>
        </w:tc>
        <w:tc>
          <w:tcPr>
            <w:tcW w:w="216" w:type="dxa"/>
            <w:tcBorders>
              <w:top w:val="nil"/>
              <w:left w:val="nil"/>
              <w:bottom w:val="nil"/>
              <w:right w:val="nil"/>
            </w:tcBorders>
          </w:tcPr>
          <w:p w14:paraId="3E503C8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334" w:type="dxa"/>
            <w:tcBorders>
              <w:top w:val="nil"/>
              <w:left w:val="nil"/>
              <w:bottom w:val="nil"/>
              <w:right w:val="nil"/>
            </w:tcBorders>
          </w:tcPr>
          <w:p w14:paraId="272E4E0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6740D4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284" w:type="dxa"/>
            <w:tcBorders>
              <w:top w:val="nil"/>
              <w:left w:val="nil"/>
              <w:bottom w:val="nil"/>
              <w:right w:val="nil"/>
            </w:tcBorders>
          </w:tcPr>
          <w:p w14:paraId="1D2D3E9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(прізвище та ініціали керівника або уповноваженої особи емітента)</w:t>
            </w:r>
          </w:p>
        </w:tc>
      </w:tr>
    </w:tbl>
    <w:p w14:paraId="77E3E9F9"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p w14:paraId="7D93DDAE"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Особлива інформація / інформація про іпотечні цінні папери/ сертифікати фонду операцій з нерухомістю емітента</w:t>
      </w:r>
    </w:p>
    <w:p w14:paraId="2CAC4F87"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8"/>
          <w:szCs w:val="28"/>
        </w:rPr>
      </w:pPr>
    </w:p>
    <w:p w14:paraId="6973B67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b/>
          <w:bCs/>
          <w:kern w:val="0"/>
        </w:rPr>
        <w:t>І. Загальні відомості</w:t>
      </w:r>
    </w:p>
    <w:p w14:paraId="172D18C8"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1. Повне найменування: Приватне </w:t>
      </w:r>
      <w:proofErr w:type="spellStart"/>
      <w:r>
        <w:rPr>
          <w:rFonts w:ascii="Times New Roman" w:hAnsi="Times New Roman" w:cs="Times New Roman"/>
          <w:kern w:val="0"/>
        </w:rPr>
        <w:t>акцiонерне</w:t>
      </w:r>
      <w:proofErr w:type="spellEnd"/>
      <w:r>
        <w:rPr>
          <w:rFonts w:ascii="Times New Roman" w:hAnsi="Times New Roman" w:cs="Times New Roman"/>
          <w:kern w:val="0"/>
        </w:rPr>
        <w:t xml:space="preserve"> товариство "</w:t>
      </w:r>
      <w:proofErr w:type="spellStart"/>
      <w:r>
        <w:rPr>
          <w:rFonts w:ascii="Times New Roman" w:hAnsi="Times New Roman" w:cs="Times New Roman"/>
          <w:kern w:val="0"/>
        </w:rPr>
        <w:t>Автотрейдiнг</w:t>
      </w:r>
      <w:proofErr w:type="spellEnd"/>
      <w:r>
        <w:rPr>
          <w:rFonts w:ascii="Times New Roman" w:hAnsi="Times New Roman" w:cs="Times New Roman"/>
          <w:kern w:val="0"/>
        </w:rPr>
        <w:t xml:space="preserve"> </w:t>
      </w:r>
      <w:proofErr w:type="spellStart"/>
      <w:r>
        <w:rPr>
          <w:rFonts w:ascii="Times New Roman" w:hAnsi="Times New Roman" w:cs="Times New Roman"/>
          <w:kern w:val="0"/>
        </w:rPr>
        <w:t>Iнвест</w:t>
      </w:r>
      <w:proofErr w:type="spellEnd"/>
      <w:r>
        <w:rPr>
          <w:rFonts w:ascii="Times New Roman" w:hAnsi="Times New Roman" w:cs="Times New Roman"/>
          <w:kern w:val="0"/>
        </w:rPr>
        <w:t>"</w:t>
      </w:r>
    </w:p>
    <w:p w14:paraId="381C60B0"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2. Організаційно-правова форма: Акціонерне товариство</w:t>
      </w:r>
    </w:p>
    <w:p w14:paraId="33B603F9" w14:textId="0A48F26E"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3. Місцезнаходження: 03062, м. Київ, проспект Перемоги, 67</w:t>
      </w:r>
    </w:p>
    <w:p w14:paraId="68C33E99"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4. Ідентифікаційний код юридичної особи: 31106821</w:t>
      </w:r>
    </w:p>
    <w:p w14:paraId="254556F0"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5. Міжміський код та номер телефону: (044) 490-10-96</w:t>
      </w:r>
    </w:p>
    <w:p w14:paraId="7025097B"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6. Адреса електронної пошти, яка є офіційним каналом зв’язку: katerina.stepanenko@atollholding.com</w:t>
      </w:r>
    </w:p>
    <w:p w14:paraId="57E99AC9"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37E3E876"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3D59CFBC"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3983231C"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ІІ. Дані про дату та місце оприлюднення інформації </w:t>
      </w:r>
    </w:p>
    <w:p w14:paraId="76E6AB6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7B6D21F3" w14:textId="77777777">
        <w:tblPrEx>
          <w:tblCellMar>
            <w:top w:w="0" w:type="dxa"/>
            <w:bottom w:w="0" w:type="dxa"/>
          </w:tblCellMar>
        </w:tblPrEx>
        <w:trPr>
          <w:trHeight w:val="300"/>
        </w:trPr>
        <w:tc>
          <w:tcPr>
            <w:tcW w:w="3415" w:type="dxa"/>
            <w:vMerge w:val="restart"/>
            <w:tcBorders>
              <w:top w:val="nil"/>
              <w:left w:val="nil"/>
              <w:bottom w:val="nil"/>
              <w:right w:val="nil"/>
            </w:tcBorders>
          </w:tcPr>
          <w:p w14:paraId="0A4AA481"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6C9595B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https://invest.autotrading.ua/rus/indexdf95.html?sidemenu_link_id=company</w:t>
            </w:r>
          </w:p>
        </w:tc>
        <w:tc>
          <w:tcPr>
            <w:tcW w:w="1885" w:type="dxa"/>
            <w:tcBorders>
              <w:top w:val="nil"/>
              <w:left w:val="nil"/>
              <w:bottom w:val="single" w:sz="6" w:space="0" w:color="auto"/>
              <w:right w:val="nil"/>
            </w:tcBorders>
            <w:vAlign w:val="bottom"/>
          </w:tcPr>
          <w:p w14:paraId="419E92A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31.07.2025</w:t>
            </w:r>
          </w:p>
        </w:tc>
      </w:tr>
      <w:tr w:rsidR="00000000" w14:paraId="7D5571D1" w14:textId="77777777">
        <w:tblPrEx>
          <w:tblCellMar>
            <w:top w:w="0" w:type="dxa"/>
            <w:bottom w:w="0" w:type="dxa"/>
          </w:tblCellMar>
        </w:tblPrEx>
        <w:trPr>
          <w:trHeight w:val="300"/>
        </w:trPr>
        <w:tc>
          <w:tcPr>
            <w:tcW w:w="3415" w:type="dxa"/>
            <w:vMerge/>
            <w:tcBorders>
              <w:top w:val="nil"/>
              <w:left w:val="nil"/>
              <w:bottom w:val="nil"/>
              <w:right w:val="nil"/>
            </w:tcBorders>
          </w:tcPr>
          <w:p w14:paraId="24BC6F33"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tc>
        <w:tc>
          <w:tcPr>
            <w:tcW w:w="5165" w:type="dxa"/>
            <w:tcBorders>
              <w:top w:val="nil"/>
              <w:left w:val="nil"/>
              <w:bottom w:val="nil"/>
              <w:right w:val="nil"/>
            </w:tcBorders>
            <w:vAlign w:val="bottom"/>
          </w:tcPr>
          <w:p w14:paraId="6C02BE2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(URL-адреса вебсайту)</w:t>
            </w:r>
          </w:p>
        </w:tc>
        <w:tc>
          <w:tcPr>
            <w:tcW w:w="1885" w:type="dxa"/>
            <w:tcBorders>
              <w:top w:val="nil"/>
              <w:left w:val="nil"/>
              <w:bottom w:val="nil"/>
              <w:right w:val="nil"/>
            </w:tcBorders>
            <w:vAlign w:val="bottom"/>
          </w:tcPr>
          <w:p w14:paraId="4046F5E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w:t>
            </w:r>
          </w:p>
        </w:tc>
      </w:tr>
    </w:tbl>
    <w:p w14:paraId="51FC4E45"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sectPr w:rsidR="00000000">
          <w:footerReference w:type="default" r:id="rId6"/>
          <w:pgSz w:w="11905" w:h="16837"/>
          <w:pgMar w:top="570" w:right="720" w:bottom="570" w:left="720" w:header="708" w:footer="360" w:gutter="0"/>
          <w:pgNumType w:start="1"/>
          <w:cols w:space="720"/>
          <w:noEndnote/>
        </w:sectPr>
      </w:pPr>
    </w:p>
    <w:p w14:paraId="575383E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ВІДОМОСТІ</w:t>
      </w:r>
    </w:p>
    <w:p w14:paraId="39F8492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про прийняття рішення про попереднє надання згоди на вчинення значних правочинів</w:t>
      </w:r>
    </w:p>
    <w:p w14:paraId="051A356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300"/>
        <w:gridCol w:w="2500"/>
        <w:gridCol w:w="2500"/>
        <w:gridCol w:w="3665"/>
      </w:tblGrid>
      <w:tr w:rsidR="00000000" w14:paraId="038A746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97F9605"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з/п</w:t>
            </w:r>
          </w:p>
        </w:tc>
        <w:tc>
          <w:tcPr>
            <w:tcW w:w="1300" w:type="dxa"/>
            <w:tcBorders>
              <w:top w:val="single" w:sz="6" w:space="0" w:color="auto"/>
              <w:left w:val="single" w:sz="6" w:space="0" w:color="auto"/>
              <w:bottom w:val="single" w:sz="6" w:space="0" w:color="auto"/>
              <w:right w:val="single" w:sz="6" w:space="0" w:color="auto"/>
            </w:tcBorders>
            <w:vAlign w:val="center"/>
          </w:tcPr>
          <w:p w14:paraId="0EAB2359"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Дата прийняття рішення</w:t>
            </w:r>
          </w:p>
        </w:tc>
        <w:tc>
          <w:tcPr>
            <w:tcW w:w="2500" w:type="dxa"/>
            <w:tcBorders>
              <w:top w:val="single" w:sz="6" w:space="0" w:color="auto"/>
              <w:left w:val="single" w:sz="6" w:space="0" w:color="auto"/>
              <w:bottom w:val="single" w:sz="6" w:space="0" w:color="auto"/>
              <w:right w:val="single" w:sz="6" w:space="0" w:color="auto"/>
            </w:tcBorders>
            <w:vAlign w:val="center"/>
          </w:tcPr>
          <w:p w14:paraId="5677C587"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xml:space="preserve">Гранична сукупна вартість правочинів, </w:t>
            </w:r>
            <w:proofErr w:type="spellStart"/>
            <w:r>
              <w:rPr>
                <w:rFonts w:ascii="Times New Roman" w:hAnsi="Times New Roman" w:cs="Times New Roman"/>
                <w:b/>
                <w:bCs/>
                <w:kern w:val="0"/>
                <w:sz w:val="20"/>
                <w:szCs w:val="20"/>
              </w:rPr>
              <w:t>тис.грн</w:t>
            </w:r>
            <w:proofErr w:type="spellEnd"/>
          </w:p>
        </w:tc>
        <w:tc>
          <w:tcPr>
            <w:tcW w:w="2500" w:type="dxa"/>
            <w:tcBorders>
              <w:top w:val="single" w:sz="6" w:space="0" w:color="auto"/>
              <w:left w:val="single" w:sz="6" w:space="0" w:color="auto"/>
              <w:bottom w:val="single" w:sz="6" w:space="0" w:color="auto"/>
              <w:right w:val="single" w:sz="6" w:space="0" w:color="auto"/>
            </w:tcBorders>
            <w:vAlign w:val="center"/>
          </w:tcPr>
          <w:p w14:paraId="4BE1AEB9"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xml:space="preserve">Вартість активів емітента за даними останньої річної фінансової звітності, </w:t>
            </w:r>
            <w:proofErr w:type="spellStart"/>
            <w:r>
              <w:rPr>
                <w:rFonts w:ascii="Times New Roman" w:hAnsi="Times New Roman" w:cs="Times New Roman"/>
                <w:b/>
                <w:bCs/>
                <w:kern w:val="0"/>
                <w:sz w:val="20"/>
                <w:szCs w:val="20"/>
              </w:rPr>
              <w:t>тис.грн</w:t>
            </w:r>
            <w:proofErr w:type="spellEnd"/>
          </w:p>
        </w:tc>
        <w:tc>
          <w:tcPr>
            <w:tcW w:w="3665" w:type="dxa"/>
            <w:tcBorders>
              <w:top w:val="single" w:sz="6" w:space="0" w:color="auto"/>
              <w:left w:val="single" w:sz="6" w:space="0" w:color="auto"/>
              <w:bottom w:val="single" w:sz="6" w:space="0" w:color="auto"/>
            </w:tcBorders>
            <w:vAlign w:val="center"/>
          </w:tcPr>
          <w:p w14:paraId="2BF8D18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b/>
                <w:bCs/>
                <w:kern w:val="0"/>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r>
      <w:tr w:rsidR="00000000" w14:paraId="529B03FA"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71A100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300" w:type="dxa"/>
            <w:tcBorders>
              <w:top w:val="single" w:sz="6" w:space="0" w:color="auto"/>
              <w:left w:val="single" w:sz="6" w:space="0" w:color="auto"/>
              <w:bottom w:val="single" w:sz="6" w:space="0" w:color="auto"/>
              <w:right w:val="single" w:sz="6" w:space="0" w:color="auto"/>
            </w:tcBorders>
            <w:vAlign w:val="center"/>
          </w:tcPr>
          <w:p w14:paraId="48ADEFB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53D3564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6DA14D6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3665" w:type="dxa"/>
            <w:tcBorders>
              <w:top w:val="single" w:sz="6" w:space="0" w:color="auto"/>
              <w:left w:val="single" w:sz="6" w:space="0" w:color="auto"/>
              <w:bottom w:val="single" w:sz="6" w:space="0" w:color="auto"/>
            </w:tcBorders>
            <w:vAlign w:val="center"/>
          </w:tcPr>
          <w:p w14:paraId="6023A5C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w:t>
            </w:r>
          </w:p>
        </w:tc>
      </w:tr>
      <w:tr w:rsidR="00000000" w14:paraId="2F649112"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1FF47B5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300" w:type="dxa"/>
            <w:tcBorders>
              <w:top w:val="single" w:sz="6" w:space="0" w:color="auto"/>
              <w:left w:val="single" w:sz="6" w:space="0" w:color="auto"/>
              <w:bottom w:val="single" w:sz="6" w:space="0" w:color="auto"/>
              <w:right w:val="single" w:sz="6" w:space="0" w:color="auto"/>
            </w:tcBorders>
          </w:tcPr>
          <w:p w14:paraId="012D8E0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30.07.2025</w:t>
            </w:r>
          </w:p>
        </w:tc>
        <w:tc>
          <w:tcPr>
            <w:tcW w:w="2500" w:type="dxa"/>
            <w:tcBorders>
              <w:top w:val="single" w:sz="6" w:space="0" w:color="auto"/>
              <w:left w:val="single" w:sz="6" w:space="0" w:color="auto"/>
              <w:bottom w:val="single" w:sz="6" w:space="0" w:color="auto"/>
              <w:right w:val="single" w:sz="6" w:space="0" w:color="auto"/>
            </w:tcBorders>
          </w:tcPr>
          <w:p w14:paraId="4BAF7EC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1 446 720</w:t>
            </w:r>
          </w:p>
        </w:tc>
        <w:tc>
          <w:tcPr>
            <w:tcW w:w="2500" w:type="dxa"/>
            <w:tcBorders>
              <w:top w:val="single" w:sz="6" w:space="0" w:color="auto"/>
              <w:left w:val="single" w:sz="6" w:space="0" w:color="auto"/>
              <w:bottom w:val="single" w:sz="6" w:space="0" w:color="auto"/>
              <w:right w:val="single" w:sz="6" w:space="0" w:color="auto"/>
            </w:tcBorders>
          </w:tcPr>
          <w:p w14:paraId="26A0AF3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77 933</w:t>
            </w:r>
          </w:p>
        </w:tc>
        <w:tc>
          <w:tcPr>
            <w:tcW w:w="3665" w:type="dxa"/>
            <w:tcBorders>
              <w:top w:val="single" w:sz="6" w:space="0" w:color="auto"/>
              <w:left w:val="single" w:sz="6" w:space="0" w:color="auto"/>
              <w:bottom w:val="single" w:sz="6" w:space="0" w:color="auto"/>
            </w:tcBorders>
          </w:tcPr>
          <w:p w14:paraId="7D6F3C2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1 856,36</w:t>
            </w:r>
          </w:p>
        </w:tc>
      </w:tr>
      <w:tr w:rsidR="00000000" w14:paraId="60362ACF"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01E29CB"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Зміст інформації:</w:t>
            </w:r>
          </w:p>
        </w:tc>
      </w:tr>
      <w:tr w:rsidR="00000000" w14:paraId="6546CE27"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9152DC7"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Загальними зборами акціонерів Товариства 30.07.2025 прийнято рішення про попереднє надання згоди на вчинення Товариством значних правочинів за наступними характеристиками: укладання Товариством нових кредитних договорів, договорів застави/іпотеки та договорів поруки, а також зміни і доповнення до них, на загальну суму, що не перевищуватиме еквівалент 30 (тридцять) мільйонів євро за офіційним курсом НБУ на дату укладання таких правочинів.</w:t>
            </w:r>
          </w:p>
          <w:p w14:paraId="5C89F851"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Гранична сукупна вартість правочинів - 1 446 720 тис. грн. (що еквівалентно 30 (тридцять) мільйонів євро за курсом НБУ на дату прийняття рішення).</w:t>
            </w:r>
          </w:p>
          <w:p w14:paraId="3408312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Вартість активів емітента за даними останньої річної фінансової звітності – 77933 </w:t>
            </w:r>
            <w:proofErr w:type="spellStart"/>
            <w:r>
              <w:rPr>
                <w:rFonts w:ascii="Times New Roman" w:hAnsi="Times New Roman" w:cs="Times New Roman"/>
                <w:kern w:val="0"/>
                <w:sz w:val="20"/>
                <w:szCs w:val="20"/>
              </w:rPr>
              <w:t>тис.грн</w:t>
            </w:r>
            <w:proofErr w:type="spellEnd"/>
            <w:r>
              <w:rPr>
                <w:rFonts w:ascii="Times New Roman" w:hAnsi="Times New Roman" w:cs="Times New Roman"/>
                <w:kern w:val="0"/>
                <w:sz w:val="20"/>
                <w:szCs w:val="20"/>
              </w:rPr>
              <w:t xml:space="preserve">. </w:t>
            </w:r>
          </w:p>
          <w:p w14:paraId="3951F34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Співвідношення граничної сукупної вартості правочинів до вартості активів емітента за даними останньої річної фінансової звітності - 1856,36%. </w:t>
            </w:r>
          </w:p>
          <w:p w14:paraId="17EE5298"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Загальна кількість голосуючих акцій - 2 134 шт., кількість голосуючих акцій, що зареєструвалися для участі у загальних зборах - 2 134 шт., кількість голосуючих акцій, що проголосували "за" прийняття рішення - 2 134 шт., кількість голосуючих акцій, що проголосували "проти" прийняття рішення - 0 шт.</w:t>
            </w:r>
          </w:p>
          <w:p w14:paraId="2CE3515C"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 </w:t>
            </w:r>
          </w:p>
          <w:p w14:paraId="27B4FC7B"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Укладання вказаних значних правочинів, а також укладання (підписання) у майбутньому необхідних додаткових угод чи доповнень до вказаних кредитних договорів, договорів застави/іпотеки, договорів поруки і договорів фінансової допомоги є схваленим/погодженим Загальними зборами акціонерів Товариства. Вказані правочини можуть вчинятися від імені Товариства Генеральним директором  на визначених ним на власний розсуд умовах без будь-яких обмежень в межах граничної сукупної вартості попередньо схвалених значних правочинів, визначеної даним пунктом, зокрема, але не виключно щодо ліміту(-</w:t>
            </w:r>
            <w:proofErr w:type="spellStart"/>
            <w:r>
              <w:rPr>
                <w:rFonts w:ascii="Times New Roman" w:hAnsi="Times New Roman" w:cs="Times New Roman"/>
                <w:kern w:val="0"/>
                <w:sz w:val="20"/>
                <w:szCs w:val="20"/>
              </w:rPr>
              <w:t>ів</w:t>
            </w:r>
            <w:proofErr w:type="spellEnd"/>
            <w:r>
              <w:rPr>
                <w:rFonts w:ascii="Times New Roman" w:hAnsi="Times New Roman" w:cs="Times New Roman"/>
                <w:kern w:val="0"/>
                <w:sz w:val="20"/>
                <w:szCs w:val="20"/>
              </w:rPr>
              <w:t>)/суми/виду кредитування, строку/терміну кредитування, графіків зменшення ліміту, цільового використання (мети) кредитування, розмірів процентних ставок, комісій, штрафів, будь-яких без виключення інших платежів, обсягу відповідальності та зобов’язань Товариства, предмета(</w:t>
            </w:r>
            <w:proofErr w:type="spellStart"/>
            <w:r>
              <w:rPr>
                <w:rFonts w:ascii="Times New Roman" w:hAnsi="Times New Roman" w:cs="Times New Roman"/>
                <w:kern w:val="0"/>
                <w:sz w:val="20"/>
                <w:szCs w:val="20"/>
              </w:rPr>
              <w:t>ів</w:t>
            </w:r>
            <w:proofErr w:type="spellEnd"/>
            <w:r>
              <w:rPr>
                <w:rFonts w:ascii="Times New Roman" w:hAnsi="Times New Roman" w:cs="Times New Roman"/>
                <w:kern w:val="0"/>
                <w:sz w:val="20"/>
                <w:szCs w:val="20"/>
              </w:rPr>
              <w:t>) забезпечення, контрагентів – Позичальників, тощо, з правом передоручення вказаних повноважень, без додаткового їх погодження Загальними зборами акціонерів/Наглядовою радою Товариства, протягом одного року з дня прийняття цього рішення.</w:t>
            </w:r>
          </w:p>
        </w:tc>
      </w:tr>
      <w:tr w:rsidR="00000000" w14:paraId="7024E7D0"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685F955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1300" w:type="dxa"/>
            <w:tcBorders>
              <w:top w:val="single" w:sz="6" w:space="0" w:color="auto"/>
              <w:left w:val="single" w:sz="6" w:space="0" w:color="auto"/>
              <w:bottom w:val="single" w:sz="6" w:space="0" w:color="auto"/>
              <w:right w:val="single" w:sz="6" w:space="0" w:color="auto"/>
            </w:tcBorders>
          </w:tcPr>
          <w:p w14:paraId="35F12F6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30.07.2025</w:t>
            </w:r>
          </w:p>
        </w:tc>
        <w:tc>
          <w:tcPr>
            <w:tcW w:w="2500" w:type="dxa"/>
            <w:tcBorders>
              <w:top w:val="single" w:sz="6" w:space="0" w:color="auto"/>
              <w:left w:val="single" w:sz="6" w:space="0" w:color="auto"/>
              <w:bottom w:val="single" w:sz="6" w:space="0" w:color="auto"/>
              <w:right w:val="single" w:sz="6" w:space="0" w:color="auto"/>
            </w:tcBorders>
          </w:tcPr>
          <w:p w14:paraId="00B370F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1 446 720</w:t>
            </w:r>
          </w:p>
        </w:tc>
        <w:tc>
          <w:tcPr>
            <w:tcW w:w="2500" w:type="dxa"/>
            <w:tcBorders>
              <w:top w:val="single" w:sz="6" w:space="0" w:color="auto"/>
              <w:left w:val="single" w:sz="6" w:space="0" w:color="auto"/>
              <w:bottom w:val="single" w:sz="6" w:space="0" w:color="auto"/>
              <w:right w:val="single" w:sz="6" w:space="0" w:color="auto"/>
            </w:tcBorders>
          </w:tcPr>
          <w:p w14:paraId="7F0237B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77 933</w:t>
            </w:r>
          </w:p>
        </w:tc>
        <w:tc>
          <w:tcPr>
            <w:tcW w:w="3665" w:type="dxa"/>
            <w:tcBorders>
              <w:top w:val="single" w:sz="6" w:space="0" w:color="auto"/>
              <w:left w:val="single" w:sz="6" w:space="0" w:color="auto"/>
              <w:bottom w:val="single" w:sz="6" w:space="0" w:color="auto"/>
            </w:tcBorders>
          </w:tcPr>
          <w:p w14:paraId="1320E60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1 856,36</w:t>
            </w:r>
          </w:p>
        </w:tc>
      </w:tr>
      <w:tr w:rsidR="00000000" w14:paraId="2D474D16"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2DE17E3"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Зміст інформації:</w:t>
            </w:r>
          </w:p>
        </w:tc>
      </w:tr>
      <w:tr w:rsidR="00000000" w14:paraId="7E1AA491"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36514DE"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Загальними зборами акціонерів Товариства 30.07.2025 прийнято рішення про попереднє надання згоди на вчинення Товариством значних правочинів за наступними характеристиками: укладання Товариством додаткових угод, якими вносяться будь-які зміни до вже укладених кредитних договорів, договорів застави/іпотеки та договорів поруки; гранична сукупна вартість вище зазначених попередньо схвалених правочинів не повинна перевищувати еквівалент 30 (тридцять) мільйонів євро за офіційним курсом НБУ на дату укладання таких правочинів.</w:t>
            </w:r>
          </w:p>
          <w:p w14:paraId="77DE543F"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Гранична сукупна вартість правочинів - 1 446 720 тис. грн. (що еквівалентно 30 (тридцять) мільйонів євро за курсом НБУ на дату прийняття рішення).</w:t>
            </w:r>
          </w:p>
          <w:p w14:paraId="2752FFA8"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Вартість активів емітента за даними останньої річної фінансової звітності – 77933 </w:t>
            </w:r>
            <w:proofErr w:type="spellStart"/>
            <w:r>
              <w:rPr>
                <w:rFonts w:ascii="Times New Roman" w:hAnsi="Times New Roman" w:cs="Times New Roman"/>
                <w:kern w:val="0"/>
                <w:sz w:val="20"/>
                <w:szCs w:val="20"/>
              </w:rPr>
              <w:t>тис.грн</w:t>
            </w:r>
            <w:proofErr w:type="spellEnd"/>
            <w:r>
              <w:rPr>
                <w:rFonts w:ascii="Times New Roman" w:hAnsi="Times New Roman" w:cs="Times New Roman"/>
                <w:kern w:val="0"/>
                <w:sz w:val="20"/>
                <w:szCs w:val="20"/>
              </w:rPr>
              <w:t xml:space="preserve">. </w:t>
            </w:r>
          </w:p>
          <w:p w14:paraId="362692CB"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Співвідношення граничної сукупної вартості правочинів до вартості активів емітента за даними останньої річної фінансової звітності - 1856,36%. </w:t>
            </w:r>
          </w:p>
          <w:p w14:paraId="00DA4985"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Загальна кількість голосуючих акцій - 2 134 шт., кількість голосуючих акцій, що зареєструвалися для участі у загальних зборах - 2 134 шт., кількість голосуючих акцій, що проголосували "за" прийняття рішення - 2 134 шт., кількість голосуючих акцій, що проголосували "проти" прийняття рішення - 0 шт.</w:t>
            </w:r>
          </w:p>
          <w:p w14:paraId="514329A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 </w:t>
            </w:r>
          </w:p>
          <w:p w14:paraId="18A14682"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Укладання вказаних значних правочинів, а також укладання (підписання) у майбутньому необхідних додаткових угод чи доповнень до вказаних кредитних договорів, договорів застави/іпотеки, договорів поруки і договорів фінансової допомоги є схваленим/погодженим Загальними зборами акціонерів Товариства. Вказані правочини можуть вчинятися від імені Товариства Генеральним директором  на визначених ним на власний розсуд умовах без будь-яких обмежень в межах граничної сукупної вартості попередньо схвалених значних правочинів, визначеної даним пунктом, зокрема, але не виключно щодо ліміту(-</w:t>
            </w:r>
            <w:proofErr w:type="spellStart"/>
            <w:r>
              <w:rPr>
                <w:rFonts w:ascii="Times New Roman" w:hAnsi="Times New Roman" w:cs="Times New Roman"/>
                <w:kern w:val="0"/>
                <w:sz w:val="20"/>
                <w:szCs w:val="20"/>
              </w:rPr>
              <w:t>ів</w:t>
            </w:r>
            <w:proofErr w:type="spellEnd"/>
            <w:r>
              <w:rPr>
                <w:rFonts w:ascii="Times New Roman" w:hAnsi="Times New Roman" w:cs="Times New Roman"/>
                <w:kern w:val="0"/>
                <w:sz w:val="20"/>
                <w:szCs w:val="20"/>
              </w:rPr>
              <w:t>)/суми/виду кредитування, строку/терміну кредитування, графіків зменшення ліміту, цільового використання (мети) кредитування, розмірів процентних ставок, комісій, штрафів, будь-яких без виключення інших платежів, обсягу відповідальності та зобов’язань Товариства, предмета(</w:t>
            </w:r>
            <w:proofErr w:type="spellStart"/>
            <w:r>
              <w:rPr>
                <w:rFonts w:ascii="Times New Roman" w:hAnsi="Times New Roman" w:cs="Times New Roman"/>
                <w:kern w:val="0"/>
                <w:sz w:val="20"/>
                <w:szCs w:val="20"/>
              </w:rPr>
              <w:t>ів</w:t>
            </w:r>
            <w:proofErr w:type="spellEnd"/>
            <w:r>
              <w:rPr>
                <w:rFonts w:ascii="Times New Roman" w:hAnsi="Times New Roman" w:cs="Times New Roman"/>
                <w:kern w:val="0"/>
                <w:sz w:val="20"/>
                <w:szCs w:val="20"/>
              </w:rPr>
              <w:t>) забезпечення, контрагентів – Позичальників, тощо, з правом передоручення вказаних повноважень, без додаткового їх погодження Загальними зборами акціонерів/Наглядовою радою Товариства, протягом одного року з дня прийняття цього рішення.</w:t>
            </w:r>
          </w:p>
        </w:tc>
      </w:tr>
      <w:tr w:rsidR="00000000" w14:paraId="77663D68"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5F28497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lastRenderedPageBreak/>
              <w:t>3</w:t>
            </w:r>
          </w:p>
        </w:tc>
        <w:tc>
          <w:tcPr>
            <w:tcW w:w="1300" w:type="dxa"/>
            <w:tcBorders>
              <w:top w:val="single" w:sz="6" w:space="0" w:color="auto"/>
              <w:left w:val="single" w:sz="6" w:space="0" w:color="auto"/>
              <w:bottom w:val="single" w:sz="6" w:space="0" w:color="auto"/>
              <w:right w:val="single" w:sz="6" w:space="0" w:color="auto"/>
            </w:tcBorders>
          </w:tcPr>
          <w:p w14:paraId="2797E8C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30.07.2025</w:t>
            </w:r>
          </w:p>
        </w:tc>
        <w:tc>
          <w:tcPr>
            <w:tcW w:w="2500" w:type="dxa"/>
            <w:tcBorders>
              <w:top w:val="single" w:sz="6" w:space="0" w:color="auto"/>
              <w:left w:val="single" w:sz="6" w:space="0" w:color="auto"/>
              <w:bottom w:val="single" w:sz="6" w:space="0" w:color="auto"/>
              <w:right w:val="single" w:sz="6" w:space="0" w:color="auto"/>
            </w:tcBorders>
          </w:tcPr>
          <w:p w14:paraId="09CAB04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100 000</w:t>
            </w:r>
          </w:p>
        </w:tc>
        <w:tc>
          <w:tcPr>
            <w:tcW w:w="2500" w:type="dxa"/>
            <w:tcBorders>
              <w:top w:val="single" w:sz="6" w:space="0" w:color="auto"/>
              <w:left w:val="single" w:sz="6" w:space="0" w:color="auto"/>
              <w:bottom w:val="single" w:sz="6" w:space="0" w:color="auto"/>
              <w:right w:val="single" w:sz="6" w:space="0" w:color="auto"/>
            </w:tcBorders>
          </w:tcPr>
          <w:p w14:paraId="3FD96949"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77 933</w:t>
            </w:r>
          </w:p>
        </w:tc>
        <w:tc>
          <w:tcPr>
            <w:tcW w:w="3665" w:type="dxa"/>
            <w:tcBorders>
              <w:top w:val="single" w:sz="6" w:space="0" w:color="auto"/>
              <w:left w:val="single" w:sz="6" w:space="0" w:color="auto"/>
              <w:bottom w:val="single" w:sz="6" w:space="0" w:color="auto"/>
            </w:tcBorders>
          </w:tcPr>
          <w:p w14:paraId="12A8F90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128,3</w:t>
            </w:r>
          </w:p>
        </w:tc>
      </w:tr>
      <w:tr w:rsidR="00000000" w14:paraId="70C232B3"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284EC401"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Зміст інформації:</w:t>
            </w:r>
          </w:p>
        </w:tc>
      </w:tr>
      <w:tr w:rsidR="00000000" w14:paraId="388155C2"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65200326"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Загальними зборами акціонерів Товариства 30.07.2025 прийнято рішення про попереднє надання згоди на вчинення Товариством значних правочинів за наступними характеристиками: укладання Товариством договорів щодо надання/отримання поворотної фінансової допомоги на загальну суму (ліміт), що не перевищує еквівалент 100 (сто) мільйонів гривень, а також будь-які зміни та доповнення до них, що не збільшують зазначений ліміт.</w:t>
            </w:r>
          </w:p>
          <w:p w14:paraId="1825A80B"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Гранична сукупна вартість правочинів – 100 000 тис. грн.</w:t>
            </w:r>
          </w:p>
          <w:p w14:paraId="77AC5C4C"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Вартість активів емітента за даними останньої річної фінансової звітності – 77933 </w:t>
            </w:r>
            <w:proofErr w:type="spellStart"/>
            <w:r>
              <w:rPr>
                <w:rFonts w:ascii="Times New Roman" w:hAnsi="Times New Roman" w:cs="Times New Roman"/>
                <w:kern w:val="0"/>
                <w:sz w:val="20"/>
                <w:szCs w:val="20"/>
              </w:rPr>
              <w:t>тис.грн</w:t>
            </w:r>
            <w:proofErr w:type="spellEnd"/>
            <w:r>
              <w:rPr>
                <w:rFonts w:ascii="Times New Roman" w:hAnsi="Times New Roman" w:cs="Times New Roman"/>
                <w:kern w:val="0"/>
                <w:sz w:val="20"/>
                <w:szCs w:val="20"/>
              </w:rPr>
              <w:t xml:space="preserve">. </w:t>
            </w:r>
          </w:p>
          <w:p w14:paraId="2A5DD98E"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Співвідношення граничної сукупної вартості правочинів до вартості активів емітента за даними останньої річної фінансової звітності – 128,3%. </w:t>
            </w:r>
          </w:p>
          <w:p w14:paraId="6D6FDF7F"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Загальна кількість голосуючих акцій - 2 134 шт., кількість голосуючих акцій, що зареєструвалися для участі у загальних зборах - 2 134 шт., кількість голосуючих акцій, що проголосували "за" прийняття рішення - 2 134 шт., кількість голосуючих акцій, що проголосували "проти" прийняття рішення - 0 шт.</w:t>
            </w:r>
          </w:p>
          <w:p w14:paraId="77DDECD7"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 </w:t>
            </w:r>
          </w:p>
          <w:p w14:paraId="17D3EEE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Укладання вказаних значних правочинів, а також укладання (підписання) у майбутньому необхідних додаткових угод чи доповнень до вказаних кредитних договорів, договорів застави/іпотеки, договорів поруки і договорів фінансової допомоги є схваленим/погодженим Загальними зборами акціонерів Товариства. Вказані правочини можуть вчинятися від імені Товариства Генеральним директором  на визначених ним на власний розсуд умовах без будь-яких обмежень в межах граничної сукупної вартості попередньо схвалених значних правочинів, визначеної даним пунктом, зокрема, але не виключно щодо ліміту(-</w:t>
            </w:r>
            <w:proofErr w:type="spellStart"/>
            <w:r>
              <w:rPr>
                <w:rFonts w:ascii="Times New Roman" w:hAnsi="Times New Roman" w:cs="Times New Roman"/>
                <w:kern w:val="0"/>
                <w:sz w:val="20"/>
                <w:szCs w:val="20"/>
              </w:rPr>
              <w:t>ів</w:t>
            </w:r>
            <w:proofErr w:type="spellEnd"/>
            <w:r>
              <w:rPr>
                <w:rFonts w:ascii="Times New Roman" w:hAnsi="Times New Roman" w:cs="Times New Roman"/>
                <w:kern w:val="0"/>
                <w:sz w:val="20"/>
                <w:szCs w:val="20"/>
              </w:rPr>
              <w:t>)/суми/виду кредитування, строку/терміну кредитування, графіків зменшення ліміту, цільового використання (мети) кредитування, розмірів процентних ставок, комісій, штрафів, будь-яких без виключення інших платежів, обсягу відповідальності та зобов’язань Товариства, предмета(</w:t>
            </w:r>
            <w:proofErr w:type="spellStart"/>
            <w:r>
              <w:rPr>
                <w:rFonts w:ascii="Times New Roman" w:hAnsi="Times New Roman" w:cs="Times New Roman"/>
                <w:kern w:val="0"/>
                <w:sz w:val="20"/>
                <w:szCs w:val="20"/>
              </w:rPr>
              <w:t>ів</w:t>
            </w:r>
            <w:proofErr w:type="spellEnd"/>
            <w:r>
              <w:rPr>
                <w:rFonts w:ascii="Times New Roman" w:hAnsi="Times New Roman" w:cs="Times New Roman"/>
                <w:kern w:val="0"/>
                <w:sz w:val="20"/>
                <w:szCs w:val="20"/>
              </w:rPr>
              <w:t>) забезпечення, контрагентів – Позичальників, тощо, з правом передоручення вказаних повноважень, без додаткового їх погодження Загальними зборами акціонерів/Наглядовою радою Товариства, протягом одного року з дня прийняття цього рішення.</w:t>
            </w:r>
          </w:p>
        </w:tc>
      </w:tr>
      <w:tr w:rsidR="00000000" w14:paraId="63E3B69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54C3C9A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1300" w:type="dxa"/>
            <w:tcBorders>
              <w:top w:val="single" w:sz="6" w:space="0" w:color="auto"/>
              <w:left w:val="single" w:sz="6" w:space="0" w:color="auto"/>
              <w:bottom w:val="single" w:sz="6" w:space="0" w:color="auto"/>
              <w:right w:val="single" w:sz="6" w:space="0" w:color="auto"/>
            </w:tcBorders>
          </w:tcPr>
          <w:p w14:paraId="761B946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30.07.2025</w:t>
            </w:r>
          </w:p>
        </w:tc>
        <w:tc>
          <w:tcPr>
            <w:tcW w:w="2500" w:type="dxa"/>
            <w:tcBorders>
              <w:top w:val="single" w:sz="6" w:space="0" w:color="auto"/>
              <w:left w:val="single" w:sz="6" w:space="0" w:color="auto"/>
              <w:bottom w:val="single" w:sz="6" w:space="0" w:color="auto"/>
              <w:right w:val="single" w:sz="6" w:space="0" w:color="auto"/>
            </w:tcBorders>
          </w:tcPr>
          <w:p w14:paraId="1B1A49D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100 000</w:t>
            </w:r>
          </w:p>
        </w:tc>
        <w:tc>
          <w:tcPr>
            <w:tcW w:w="2500" w:type="dxa"/>
            <w:tcBorders>
              <w:top w:val="single" w:sz="6" w:space="0" w:color="auto"/>
              <w:left w:val="single" w:sz="6" w:space="0" w:color="auto"/>
              <w:bottom w:val="single" w:sz="6" w:space="0" w:color="auto"/>
              <w:right w:val="single" w:sz="6" w:space="0" w:color="auto"/>
            </w:tcBorders>
          </w:tcPr>
          <w:p w14:paraId="5A8F2C3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77 933</w:t>
            </w:r>
          </w:p>
        </w:tc>
        <w:tc>
          <w:tcPr>
            <w:tcW w:w="3665" w:type="dxa"/>
            <w:tcBorders>
              <w:top w:val="single" w:sz="6" w:space="0" w:color="auto"/>
              <w:left w:val="single" w:sz="6" w:space="0" w:color="auto"/>
              <w:bottom w:val="single" w:sz="6" w:space="0" w:color="auto"/>
            </w:tcBorders>
          </w:tcPr>
          <w:p w14:paraId="41A14BB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128,3</w:t>
            </w:r>
          </w:p>
        </w:tc>
      </w:tr>
      <w:tr w:rsidR="00000000" w14:paraId="7DDBEAD1"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1E01D97"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Зміст інформації:</w:t>
            </w:r>
          </w:p>
        </w:tc>
      </w:tr>
      <w:tr w:rsidR="00000000" w14:paraId="357F05C8"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78CC4045"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Загальними зборами акціонерів Товариства 30.07.2025 прийнято рішення про попереднє надання згоди на вчинення Товариством значних правочинів за наступними характеристиками: укладання Товариством інших договорів на загальну суму (ліміт), що не перевищує 100 (сто) мільйонів гривень на дату укладання таких правочинів, а також будь-які зміни та доповнення до них, що не збільшують зазначений ліміт відповідальності.</w:t>
            </w:r>
          </w:p>
          <w:p w14:paraId="4ECA8A15"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Гранична сукупна вартість правочинів – 100 000 тис. грн.</w:t>
            </w:r>
          </w:p>
          <w:p w14:paraId="4B201A93"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Вартість активів емітента за даними останньої річної фінансової звітності – 77933 </w:t>
            </w:r>
            <w:proofErr w:type="spellStart"/>
            <w:r>
              <w:rPr>
                <w:rFonts w:ascii="Times New Roman" w:hAnsi="Times New Roman" w:cs="Times New Roman"/>
                <w:kern w:val="0"/>
                <w:sz w:val="20"/>
                <w:szCs w:val="20"/>
              </w:rPr>
              <w:t>тис.грн</w:t>
            </w:r>
            <w:proofErr w:type="spellEnd"/>
            <w:r>
              <w:rPr>
                <w:rFonts w:ascii="Times New Roman" w:hAnsi="Times New Roman" w:cs="Times New Roman"/>
                <w:kern w:val="0"/>
                <w:sz w:val="20"/>
                <w:szCs w:val="20"/>
              </w:rPr>
              <w:t xml:space="preserve">. </w:t>
            </w:r>
          </w:p>
          <w:p w14:paraId="29A8562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Співвідношення граничної сукупної вартості правочинів до вартості активів емітента за даними останньої річної фінансової звітності – 128,3%. </w:t>
            </w:r>
          </w:p>
          <w:p w14:paraId="39FE5E27"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Загальна кількість голосуючих акцій - 2 134 шт., кількість голосуючих акцій, що зареєструвалися для участі у загальних зборах - 2 134 шт., кількість голосуючих акцій, що проголосували "за" прийняття рішення - 2 134 шт., кількість голосуючих акцій, що проголосували "проти" прийняття рішення - 0 шт.</w:t>
            </w:r>
          </w:p>
          <w:p w14:paraId="6E6ED049"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 </w:t>
            </w:r>
          </w:p>
          <w:p w14:paraId="2C3983B8"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Укладання вказаних значних правочинів, а також укладання (підписання) у майбутньому необхідних додаткових угод чи доповнень до вказаних кредитних договорів, договорів застави/іпотеки, договорів поруки і договорів фінансової допомоги є схваленим/погодженим Загальними зборами акціонерів Товариства. Вказані правочини можуть вчинятися від імені Товариства Генеральним директором  на визначених ним на власний розсуд умовах без будь-яких обмежень в межах граничної сукупної вартості попередньо схвалених значних правочинів, визначеної даним пунктом, зокрема, але не виключно щодо ліміту(-</w:t>
            </w:r>
            <w:proofErr w:type="spellStart"/>
            <w:r>
              <w:rPr>
                <w:rFonts w:ascii="Times New Roman" w:hAnsi="Times New Roman" w:cs="Times New Roman"/>
                <w:kern w:val="0"/>
                <w:sz w:val="20"/>
                <w:szCs w:val="20"/>
              </w:rPr>
              <w:t>ів</w:t>
            </w:r>
            <w:proofErr w:type="spellEnd"/>
            <w:r>
              <w:rPr>
                <w:rFonts w:ascii="Times New Roman" w:hAnsi="Times New Roman" w:cs="Times New Roman"/>
                <w:kern w:val="0"/>
                <w:sz w:val="20"/>
                <w:szCs w:val="20"/>
              </w:rPr>
              <w:t>)/суми/виду кредитування, строку/терміну кредитування, графіків зменшення ліміту, цільового використання (мети) кредитування, розмірів процентних ставок, комісій, штрафів, будь-яких без виключення інших платежів, обсягу відповідальності та зобов’язань Товариства, предмета(</w:t>
            </w:r>
            <w:proofErr w:type="spellStart"/>
            <w:r>
              <w:rPr>
                <w:rFonts w:ascii="Times New Roman" w:hAnsi="Times New Roman" w:cs="Times New Roman"/>
                <w:kern w:val="0"/>
                <w:sz w:val="20"/>
                <w:szCs w:val="20"/>
              </w:rPr>
              <w:t>ів</w:t>
            </w:r>
            <w:proofErr w:type="spellEnd"/>
            <w:r>
              <w:rPr>
                <w:rFonts w:ascii="Times New Roman" w:hAnsi="Times New Roman" w:cs="Times New Roman"/>
                <w:kern w:val="0"/>
                <w:sz w:val="20"/>
                <w:szCs w:val="20"/>
              </w:rPr>
              <w:t>) забезпечення, контрагентів – Позичальників, тощо, з правом передоручення вказаних повноважень, без додаткового їх погодження Загальними зборами акціонерів/Наглядовою радою Товариства, протягом одного року з дня прийняття цього рішення.</w:t>
            </w:r>
          </w:p>
        </w:tc>
      </w:tr>
    </w:tbl>
    <w:p w14:paraId="650D9E9F" w14:textId="77777777" w:rsidR="00910BEE" w:rsidRDefault="00910BEE"/>
    <w:sectPr w:rsidR="00910BEE">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5A19" w14:textId="77777777" w:rsidR="00910BEE" w:rsidRDefault="00910BEE">
      <w:pPr>
        <w:spacing w:after="0" w:line="240" w:lineRule="auto"/>
      </w:pPr>
      <w:r>
        <w:separator/>
      </w:r>
    </w:p>
  </w:endnote>
  <w:endnote w:type="continuationSeparator" w:id="0">
    <w:p w14:paraId="7C49B1FE" w14:textId="77777777" w:rsidR="00910BEE" w:rsidRDefault="0091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B4D87" w14:textId="77777777" w:rsidR="00000000" w:rsidRDefault="00000000">
    <w:pPr>
      <w:widowControl w:val="0"/>
      <w:autoSpaceDE w:val="0"/>
      <w:autoSpaceDN w:val="0"/>
      <w:adjustRightInd w:val="0"/>
      <w:spacing w:after="0" w:line="240" w:lineRule="auto"/>
      <w:jc w:val="right"/>
      <w:rPr>
        <w:rFonts w:ascii="Times New Roman" w:hAnsi="Times New Roman" w:cs="Times New Roman"/>
        <w:kern w:val="0"/>
        <w:sz w:val="20"/>
        <w:szCs w:val="20"/>
        <w:lang w:val="ru-RU"/>
      </w:rPr>
    </w:pPr>
    <w:r>
      <w:rPr>
        <w:rFonts w:ascii="Times New Roman" w:hAnsi="Times New Roman" w:cs="Times New Roman"/>
        <w:kern w:val="0"/>
        <w:sz w:val="20"/>
        <w:szCs w:val="20"/>
        <w:lang w:val="ru-RU"/>
      </w:rPr>
      <w:fldChar w:fldCharType="begin"/>
    </w:r>
    <w:r>
      <w:rPr>
        <w:rFonts w:ascii="Times New Roman" w:hAnsi="Times New Roman" w:cs="Times New Roman"/>
        <w:kern w:val="0"/>
        <w:sz w:val="20"/>
        <w:szCs w:val="20"/>
        <w:lang w:val="ru-RU"/>
      </w:rPr>
      <w:instrText>PAGE</w:instrText>
    </w:r>
    <w:r w:rsidR="00CF73C7">
      <w:rPr>
        <w:rFonts w:ascii="Times New Roman" w:hAnsi="Times New Roman" w:cs="Times New Roman"/>
        <w:kern w:val="0"/>
        <w:sz w:val="20"/>
        <w:szCs w:val="20"/>
        <w:lang w:val="ru-RU"/>
      </w:rPr>
      <w:fldChar w:fldCharType="separate"/>
    </w:r>
    <w:r w:rsidR="00CF73C7">
      <w:rPr>
        <w:rFonts w:ascii="Times New Roman" w:hAnsi="Times New Roman" w:cs="Times New Roman"/>
        <w:noProof/>
        <w:kern w:val="0"/>
        <w:sz w:val="20"/>
        <w:szCs w:val="20"/>
        <w:lang w:val="ru-RU"/>
      </w:rPr>
      <w:t>1</w:t>
    </w:r>
    <w:r>
      <w:rPr>
        <w:rFonts w:ascii="Times New Roman" w:hAnsi="Times New Roman" w:cs="Times New Roman"/>
        <w:kern w:val="0"/>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78565" w14:textId="77777777" w:rsidR="00910BEE" w:rsidRDefault="00910BEE">
      <w:pPr>
        <w:spacing w:after="0" w:line="240" w:lineRule="auto"/>
      </w:pPr>
      <w:r>
        <w:separator/>
      </w:r>
    </w:p>
  </w:footnote>
  <w:footnote w:type="continuationSeparator" w:id="0">
    <w:p w14:paraId="5433F224" w14:textId="77777777" w:rsidR="00910BEE" w:rsidRDefault="00910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C7"/>
    <w:rsid w:val="00910BEE"/>
    <w:rsid w:val="00BA73A5"/>
    <w:rsid w:val="00CF7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C4BE4"/>
  <w14:defaultImageDpi w14:val="0"/>
  <w15:docId w15:val="{C0E4ABCC-CC75-483E-9C93-B8B3AA31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7882</Words>
  <Characters>4494</Characters>
  <Application>Microsoft Office Word</Application>
  <DocSecurity>0</DocSecurity>
  <Lines>37</Lines>
  <Paragraphs>24</Paragraphs>
  <ScaleCrop>false</ScaleCrop>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Ступак</dc:creator>
  <cp:keywords/>
  <dc:description/>
  <cp:lastModifiedBy>Олена Ступак</cp:lastModifiedBy>
  <cp:revision>2</cp:revision>
  <dcterms:created xsi:type="dcterms:W3CDTF">2025-07-31T15:26:00Z</dcterms:created>
  <dcterms:modified xsi:type="dcterms:W3CDTF">2025-07-31T15:26:00Z</dcterms:modified>
</cp:coreProperties>
</file>